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B22C8" w14:textId="77777777" w:rsidR="002E6339" w:rsidRPr="002E6339" w:rsidRDefault="002E6339" w:rsidP="002E6339">
      <w:pPr>
        <w:shd w:val="clear" w:color="auto" w:fill="FFFFFF"/>
        <w:spacing w:before="300" w:after="300" w:line="240" w:lineRule="auto"/>
        <w:outlineLvl w:val="1"/>
        <w:rPr>
          <w:rFonts w:ascii="Arial" w:eastAsia="Times New Roman" w:hAnsi="Arial" w:cs="Arial"/>
          <w:b/>
          <w:bCs/>
          <w:color w:val="064A61"/>
          <w:sz w:val="53"/>
          <w:szCs w:val="53"/>
        </w:rPr>
      </w:pPr>
      <w:r w:rsidRPr="002E6339">
        <w:rPr>
          <w:rFonts w:ascii="Arial" w:eastAsia="Times New Roman" w:hAnsi="Arial" w:cs="Arial"/>
          <w:b/>
          <w:bCs/>
          <w:color w:val="064A61"/>
          <w:sz w:val="53"/>
          <w:szCs w:val="53"/>
        </w:rPr>
        <w:t>57th Annual NAEPC </w:t>
      </w:r>
      <w:r w:rsidRPr="002E6339">
        <w:rPr>
          <w:rFonts w:ascii="Arial" w:eastAsia="Times New Roman" w:hAnsi="Arial" w:cs="Arial"/>
          <w:b/>
          <w:bCs/>
          <w:color w:val="064A61"/>
          <w:sz w:val="53"/>
          <w:szCs w:val="53"/>
        </w:rPr>
        <w:br/>
        <w:t>Advanced Estate Planning Strategies</w:t>
      </w:r>
      <w:r w:rsidRPr="002E6339">
        <w:rPr>
          <w:rFonts w:ascii="Arial" w:eastAsia="Times New Roman" w:hAnsi="Arial" w:cs="Arial"/>
          <w:b/>
          <w:bCs/>
          <w:color w:val="064A61"/>
          <w:sz w:val="53"/>
          <w:szCs w:val="53"/>
        </w:rPr>
        <w:br/>
        <w:t>Virtual Conference</w:t>
      </w:r>
    </w:p>
    <w:p w14:paraId="6C122BD2" w14:textId="284C6021" w:rsidR="002E6339" w:rsidRDefault="002E6339" w:rsidP="002E6339">
      <w:pPr>
        <w:shd w:val="clear" w:color="auto" w:fill="FFFFFF"/>
        <w:spacing w:before="450" w:after="150" w:line="240" w:lineRule="auto"/>
        <w:outlineLvl w:val="2"/>
        <w:rPr>
          <w:rFonts w:ascii="Arial" w:eastAsia="Times New Roman" w:hAnsi="Arial" w:cs="Arial"/>
          <w:color w:val="333333"/>
          <w:sz w:val="36"/>
          <w:szCs w:val="36"/>
        </w:rPr>
      </w:pPr>
      <w:r w:rsidRPr="002E6339">
        <w:rPr>
          <w:rFonts w:ascii="Arial" w:eastAsia="Times New Roman" w:hAnsi="Arial" w:cs="Arial"/>
          <w:color w:val="333333"/>
          <w:sz w:val="36"/>
          <w:szCs w:val="36"/>
        </w:rPr>
        <w:t>November 10, 2020 ∙ 11:30 am ET - 5:00 pm ET</w:t>
      </w:r>
    </w:p>
    <w:p w14:paraId="151092F4" w14:textId="37E260A0" w:rsidR="002E6339" w:rsidRDefault="002E6339" w:rsidP="002E6339">
      <w:pPr>
        <w:shd w:val="clear" w:color="auto" w:fill="FFFFFF"/>
        <w:spacing w:before="450" w:after="150" w:line="240" w:lineRule="auto"/>
        <w:outlineLvl w:val="2"/>
        <w:rPr>
          <w:rFonts w:ascii="Arial" w:eastAsia="Times New Roman" w:hAnsi="Arial" w:cs="Arial"/>
          <w:color w:val="333333"/>
          <w:sz w:val="36"/>
          <w:szCs w:val="36"/>
        </w:rPr>
      </w:pPr>
    </w:p>
    <w:tbl>
      <w:tblPr>
        <w:tblpPr w:leftFromText="45" w:rightFromText="45" w:vertAnchor="text"/>
        <w:tblW w:w="11250" w:type="dxa"/>
        <w:shd w:val="clear" w:color="auto" w:fill="FFFFFF"/>
        <w:tblCellMar>
          <w:top w:w="30" w:type="dxa"/>
          <w:left w:w="30" w:type="dxa"/>
          <w:bottom w:w="30" w:type="dxa"/>
          <w:right w:w="30" w:type="dxa"/>
        </w:tblCellMar>
        <w:tblLook w:val="04A0" w:firstRow="1" w:lastRow="0" w:firstColumn="1" w:lastColumn="0" w:noHBand="0" w:noVBand="1"/>
      </w:tblPr>
      <w:tblGrid>
        <w:gridCol w:w="526"/>
        <w:gridCol w:w="10724"/>
      </w:tblGrid>
      <w:tr w:rsidR="002E6339" w:rsidRPr="002E6339" w14:paraId="52D1BE91" w14:textId="77777777" w:rsidTr="002E6339">
        <w:tc>
          <w:tcPr>
            <w:tcW w:w="0" w:type="auto"/>
            <w:shd w:val="clear" w:color="auto" w:fill="FFFFFF"/>
            <w:tcMar>
              <w:top w:w="0" w:type="dxa"/>
              <w:left w:w="0" w:type="dxa"/>
              <w:bottom w:w="0" w:type="dxa"/>
              <w:right w:w="0" w:type="dxa"/>
            </w:tcMar>
            <w:hideMark/>
          </w:tcPr>
          <w:p w14:paraId="481F2AC9"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12:25 pm ET</w:t>
            </w:r>
          </w:p>
        </w:tc>
        <w:tc>
          <w:tcPr>
            <w:tcW w:w="10500" w:type="dxa"/>
            <w:shd w:val="clear" w:color="auto" w:fill="FFFFFF"/>
            <w:tcMar>
              <w:top w:w="0" w:type="dxa"/>
              <w:left w:w="0" w:type="dxa"/>
              <w:bottom w:w="0" w:type="dxa"/>
              <w:right w:w="0" w:type="dxa"/>
            </w:tcMar>
            <w:vAlign w:val="center"/>
            <w:hideMark/>
          </w:tcPr>
          <w:p w14:paraId="0B6A38DC" w14:textId="77777777" w:rsidR="002E6339" w:rsidRPr="00E51CDF" w:rsidRDefault="002E6339" w:rsidP="002E6339">
            <w:pPr>
              <w:spacing w:after="0" w:line="240" w:lineRule="auto"/>
              <w:rPr>
                <w:rFonts w:ascii="Arial" w:eastAsia="Times New Roman" w:hAnsi="Arial" w:cs="Arial"/>
                <w:i/>
                <w:iCs/>
                <w:color w:val="333333"/>
                <w:sz w:val="20"/>
                <w:szCs w:val="20"/>
              </w:rPr>
            </w:pPr>
            <w:r w:rsidRPr="002E6339">
              <w:rPr>
                <w:rFonts w:ascii="Arial" w:eastAsia="Times New Roman" w:hAnsi="Arial" w:cs="Arial"/>
                <w:noProof/>
                <w:color w:val="008000"/>
                <w:sz w:val="21"/>
                <w:szCs w:val="21"/>
              </w:rPr>
              <w:drawing>
                <wp:inline distT="0" distB="0" distL="0" distR="0" wp14:anchorId="1C7E35BD" wp14:editId="60B99070">
                  <wp:extent cx="1526199" cy="1536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8432" cy="1549018"/>
                          </a:xfrm>
                          <a:prstGeom prst="rect">
                            <a:avLst/>
                          </a:prstGeom>
                          <a:noFill/>
                          <a:ln>
                            <a:noFill/>
                          </a:ln>
                        </pic:spPr>
                      </pic:pic>
                    </a:graphicData>
                  </a:graphic>
                </wp:inline>
              </w:drawing>
            </w:r>
            <w:r w:rsidRPr="002E6339">
              <w:rPr>
                <w:rFonts w:ascii="Arial" w:eastAsia="Times New Roman" w:hAnsi="Arial" w:cs="Arial"/>
                <w:color w:val="008000"/>
                <w:sz w:val="21"/>
                <w:szCs w:val="21"/>
              </w:rPr>
              <w:t>"Estate Planning in Light of the Election Results" </w:t>
            </w:r>
            <w:r w:rsidRPr="002E6339">
              <w:rPr>
                <w:rFonts w:ascii="Arial" w:eastAsia="Times New Roman" w:hAnsi="Arial" w:cs="Arial"/>
                <w:color w:val="008000"/>
                <w:sz w:val="21"/>
                <w:szCs w:val="21"/>
              </w:rPr>
              <w:br/>
              <w:t>Martin M. Shenkman, CPA/PFS, MBA, JD, AEP® (Distinguished)</w:t>
            </w:r>
            <w:r w:rsidRPr="002E6339">
              <w:rPr>
                <w:rFonts w:ascii="Arial" w:eastAsia="Times New Roman" w:hAnsi="Arial" w:cs="Arial"/>
                <w:color w:val="333333"/>
                <w:sz w:val="21"/>
                <w:szCs w:val="21"/>
              </w:rPr>
              <w:br/>
            </w:r>
            <w:r w:rsidRPr="002E6339">
              <w:rPr>
                <w:rFonts w:ascii="Arial" w:eastAsia="Times New Roman" w:hAnsi="Arial" w:cs="Arial"/>
                <w:i/>
                <w:iCs/>
                <w:color w:val="333333"/>
                <w:sz w:val="20"/>
                <w:szCs w:val="20"/>
              </w:rPr>
              <w:t>This presentation will address potential considerations for various election outcomes, including a Republican victory,</w:t>
            </w:r>
          </w:p>
          <w:p w14:paraId="6EB93922" w14:textId="489807A6"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i/>
                <w:iCs/>
                <w:color w:val="333333"/>
                <w:sz w:val="20"/>
                <w:szCs w:val="20"/>
              </w:rPr>
              <w:t xml:space="preserve"> Democratic Victory but Republican Senate, or a Democratic sweep… select just one, as it will be multiple choice!</w:t>
            </w:r>
          </w:p>
        </w:tc>
      </w:tr>
      <w:tr w:rsidR="002E6339" w:rsidRPr="002E6339" w14:paraId="4B8EF0B6" w14:textId="77777777" w:rsidTr="002E6339">
        <w:tc>
          <w:tcPr>
            <w:tcW w:w="0" w:type="auto"/>
            <w:shd w:val="clear" w:color="auto" w:fill="FFFFFF"/>
            <w:tcMar>
              <w:top w:w="0" w:type="dxa"/>
              <w:left w:w="0" w:type="dxa"/>
              <w:bottom w:w="0" w:type="dxa"/>
              <w:right w:w="0" w:type="dxa"/>
            </w:tcMar>
            <w:vAlign w:val="center"/>
            <w:hideMark/>
          </w:tcPr>
          <w:p w14:paraId="5388AC32"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1:25 pm ET</w:t>
            </w:r>
          </w:p>
        </w:tc>
        <w:tc>
          <w:tcPr>
            <w:tcW w:w="0" w:type="auto"/>
            <w:shd w:val="clear" w:color="auto" w:fill="FFFFFF"/>
            <w:tcMar>
              <w:top w:w="0" w:type="dxa"/>
              <w:left w:w="0" w:type="dxa"/>
              <w:bottom w:w="0" w:type="dxa"/>
              <w:right w:w="0" w:type="dxa"/>
            </w:tcMar>
            <w:vAlign w:val="center"/>
            <w:hideMark/>
          </w:tcPr>
          <w:p w14:paraId="3D42ED1B"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Networking Break &amp; Exhibit Hall Open</w:t>
            </w:r>
          </w:p>
        </w:tc>
      </w:tr>
      <w:tr w:rsidR="002E6339" w:rsidRPr="002E6339" w14:paraId="4C499F21" w14:textId="77777777" w:rsidTr="002E6339">
        <w:tc>
          <w:tcPr>
            <w:tcW w:w="0" w:type="auto"/>
            <w:shd w:val="clear" w:color="auto" w:fill="FFFFFF"/>
            <w:tcMar>
              <w:top w:w="0" w:type="dxa"/>
              <w:left w:w="0" w:type="dxa"/>
              <w:bottom w:w="0" w:type="dxa"/>
              <w:right w:w="0" w:type="dxa"/>
            </w:tcMar>
            <w:hideMark/>
          </w:tcPr>
          <w:p w14:paraId="45B55008"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1:55 pm ET</w:t>
            </w:r>
          </w:p>
        </w:tc>
        <w:tc>
          <w:tcPr>
            <w:tcW w:w="0" w:type="auto"/>
            <w:shd w:val="clear" w:color="auto" w:fill="FFFFFF"/>
            <w:tcMar>
              <w:top w:w="0" w:type="dxa"/>
              <w:left w:w="0" w:type="dxa"/>
              <w:bottom w:w="0" w:type="dxa"/>
              <w:right w:w="0" w:type="dxa"/>
            </w:tcMar>
            <w:vAlign w:val="center"/>
            <w:hideMark/>
          </w:tcPr>
          <w:p w14:paraId="7D03A6FB"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noProof/>
                <w:color w:val="008000"/>
                <w:sz w:val="21"/>
                <w:szCs w:val="21"/>
              </w:rPr>
              <w:drawing>
                <wp:inline distT="0" distB="0" distL="0" distR="0" wp14:anchorId="2771D740" wp14:editId="555B7ADB">
                  <wp:extent cx="161925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r w:rsidRPr="002E6339">
              <w:rPr>
                <w:rFonts w:ascii="Arial" w:eastAsia="Times New Roman" w:hAnsi="Arial" w:cs="Arial"/>
                <w:color w:val="008000"/>
                <w:sz w:val="21"/>
                <w:szCs w:val="21"/>
              </w:rPr>
              <w:t>"Are You in Good Hands?" </w:t>
            </w:r>
            <w:r w:rsidRPr="002E6339">
              <w:rPr>
                <w:rFonts w:ascii="Arial" w:eastAsia="Times New Roman" w:hAnsi="Arial" w:cs="Arial"/>
                <w:color w:val="008000"/>
                <w:sz w:val="21"/>
                <w:szCs w:val="21"/>
              </w:rPr>
              <w:br/>
              <w:t>Richard M. Weber, MBA, CLU®, AEP® (Distinguished)</w:t>
            </w:r>
            <w:r w:rsidRPr="002E6339">
              <w:rPr>
                <w:rFonts w:ascii="Arial" w:eastAsia="Times New Roman" w:hAnsi="Arial" w:cs="Arial"/>
                <w:color w:val="333333"/>
                <w:sz w:val="21"/>
                <w:szCs w:val="21"/>
              </w:rPr>
              <w:br/>
            </w:r>
            <w:r w:rsidRPr="002E6339">
              <w:rPr>
                <w:rFonts w:ascii="Arial" w:eastAsia="Times New Roman" w:hAnsi="Arial" w:cs="Arial"/>
                <w:i/>
                <w:iCs/>
                <w:color w:val="333333"/>
                <w:sz w:val="21"/>
                <w:szCs w:val="21"/>
              </w:rPr>
              <w:t xml:space="preserve">This session will offer an exploration of suitability and client best interest in the sale and purchase of life insurance. </w:t>
            </w:r>
          </w:p>
          <w:p w14:paraId="33CAA031"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Attendees will be among the first to learn of the regulatory movement substantially increasing the standard of care</w:t>
            </w:r>
          </w:p>
          <w:p w14:paraId="123DFAA9"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owed to buyers of life insurance. While mainly affecting licensed agents and CERTIFIED FINANCIAL PLANNER™</w:t>
            </w:r>
          </w:p>
          <w:p w14:paraId="36F5767F"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designees, non-licensed allied professionals will likely be caught unaware of these regulatory changes.  Attendees</w:t>
            </w:r>
          </w:p>
          <w:p w14:paraId="17194D1F"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will learn: a description of enhanced regulations currently in effect in various states; information about comparable</w:t>
            </w:r>
          </w:p>
          <w:p w14:paraId="46C3EDC4"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changes in the fiduciary obligations of CERTIFIED FINANCIAL PLANNER™ designees to their clients; practical</w:t>
            </w:r>
          </w:p>
          <w:p w14:paraId="482D5035"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tools that currently exist to meet these requirements - fulfilling both the letter and spirit of the new requirements; </w:t>
            </w:r>
          </w:p>
          <w:p w14:paraId="5A2FB930"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how many new life insurance products defy the consumer’s (and agent’s) ability to determine the amount of risk </w:t>
            </w:r>
          </w:p>
          <w:p w14:paraId="7E70458E"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the client takes to achieve an expected reward; and how allied professionals will likely want to interact with their</w:t>
            </w:r>
          </w:p>
          <w:p w14:paraId="57CC1B8C" w14:textId="73E0497D"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i/>
                <w:iCs/>
                <w:color w:val="333333"/>
                <w:sz w:val="21"/>
                <w:szCs w:val="21"/>
              </w:rPr>
              <w:t xml:space="preserve"> clients going forward.</w:t>
            </w:r>
          </w:p>
        </w:tc>
      </w:tr>
      <w:tr w:rsidR="002E6339" w:rsidRPr="002E6339" w14:paraId="62DB29BA" w14:textId="77777777" w:rsidTr="002E6339">
        <w:tc>
          <w:tcPr>
            <w:tcW w:w="0" w:type="auto"/>
            <w:shd w:val="clear" w:color="auto" w:fill="FFFFFF"/>
            <w:tcMar>
              <w:top w:w="0" w:type="dxa"/>
              <w:left w:w="0" w:type="dxa"/>
              <w:bottom w:w="0" w:type="dxa"/>
              <w:right w:w="0" w:type="dxa"/>
            </w:tcMar>
            <w:vAlign w:val="center"/>
            <w:hideMark/>
          </w:tcPr>
          <w:p w14:paraId="3F6A8397"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2:55 pm ET</w:t>
            </w:r>
          </w:p>
        </w:tc>
        <w:tc>
          <w:tcPr>
            <w:tcW w:w="0" w:type="auto"/>
            <w:shd w:val="clear" w:color="auto" w:fill="FFFFFF"/>
            <w:tcMar>
              <w:top w:w="0" w:type="dxa"/>
              <w:left w:w="0" w:type="dxa"/>
              <w:bottom w:w="0" w:type="dxa"/>
              <w:right w:w="0" w:type="dxa"/>
            </w:tcMar>
            <w:vAlign w:val="center"/>
            <w:hideMark/>
          </w:tcPr>
          <w:p w14:paraId="74470015"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Networking Break &amp; Exhibit Hall Open</w:t>
            </w:r>
          </w:p>
        </w:tc>
      </w:tr>
      <w:tr w:rsidR="002E6339" w:rsidRPr="002E6339" w14:paraId="3E591532" w14:textId="77777777" w:rsidTr="002E6339">
        <w:tc>
          <w:tcPr>
            <w:tcW w:w="0" w:type="auto"/>
            <w:shd w:val="clear" w:color="auto" w:fill="FFFFFF"/>
            <w:tcMar>
              <w:top w:w="0" w:type="dxa"/>
              <w:left w:w="0" w:type="dxa"/>
              <w:bottom w:w="0" w:type="dxa"/>
              <w:right w:w="0" w:type="dxa"/>
            </w:tcMar>
            <w:hideMark/>
          </w:tcPr>
          <w:p w14:paraId="0CDCA767"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lastRenderedPageBreak/>
              <w:t>3:15 pm ET</w:t>
            </w:r>
          </w:p>
        </w:tc>
        <w:tc>
          <w:tcPr>
            <w:tcW w:w="0" w:type="auto"/>
            <w:shd w:val="clear" w:color="auto" w:fill="FFFFFF"/>
            <w:tcMar>
              <w:top w:w="0" w:type="dxa"/>
              <w:left w:w="0" w:type="dxa"/>
              <w:bottom w:w="0" w:type="dxa"/>
              <w:right w:w="0" w:type="dxa"/>
            </w:tcMar>
            <w:vAlign w:val="center"/>
            <w:hideMark/>
          </w:tcPr>
          <w:p w14:paraId="2FF85DE0"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noProof/>
                <w:color w:val="008000"/>
                <w:sz w:val="21"/>
                <w:szCs w:val="21"/>
              </w:rPr>
              <w:drawing>
                <wp:inline distT="0" distB="0" distL="0" distR="0" wp14:anchorId="3184FDC6" wp14:editId="56086314">
                  <wp:extent cx="175895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381250"/>
                          </a:xfrm>
                          <a:prstGeom prst="rect">
                            <a:avLst/>
                          </a:prstGeom>
                          <a:noFill/>
                          <a:ln>
                            <a:noFill/>
                          </a:ln>
                        </pic:spPr>
                      </pic:pic>
                    </a:graphicData>
                  </a:graphic>
                </wp:inline>
              </w:drawing>
            </w:r>
            <w:r w:rsidRPr="002E6339">
              <w:rPr>
                <w:rFonts w:ascii="Arial" w:eastAsia="Times New Roman" w:hAnsi="Arial" w:cs="Arial"/>
                <w:color w:val="008000"/>
                <w:sz w:val="21"/>
                <w:szCs w:val="21"/>
              </w:rPr>
              <w:t>"The Ins and Outs of QCDs" </w:t>
            </w:r>
            <w:r w:rsidRPr="002E6339">
              <w:rPr>
                <w:rFonts w:ascii="Arial" w:eastAsia="Times New Roman" w:hAnsi="Arial" w:cs="Arial"/>
                <w:color w:val="008000"/>
                <w:sz w:val="21"/>
                <w:szCs w:val="21"/>
              </w:rPr>
              <w:br/>
              <w:t>Natalie B. Choate, Esq., AEP® (Distinguished)</w:t>
            </w:r>
            <w:r w:rsidRPr="002E6339">
              <w:rPr>
                <w:rFonts w:ascii="Arial" w:eastAsia="Times New Roman" w:hAnsi="Arial" w:cs="Arial"/>
                <w:color w:val="333333"/>
                <w:sz w:val="21"/>
                <w:szCs w:val="21"/>
              </w:rPr>
              <w:br/>
            </w:r>
            <w:r w:rsidRPr="002E6339">
              <w:rPr>
                <w:rFonts w:ascii="Arial" w:eastAsia="Times New Roman" w:hAnsi="Arial" w:cs="Arial"/>
                <w:i/>
                <w:iCs/>
                <w:color w:val="333333"/>
                <w:sz w:val="21"/>
                <w:szCs w:val="21"/>
              </w:rPr>
              <w:t>Qualified charitable distributions are a popular tax saving device for all IRA owners over 70.5 - helping the</w:t>
            </w:r>
          </w:p>
          <w:p w14:paraId="45227A52" w14:textId="77777777" w:rsidR="002E6339" w:rsidRDefault="002E6339" w:rsidP="002E6339">
            <w:pPr>
              <w:spacing w:after="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"little guy" as well as the rich and famous. They're easy, they're simple, and people still mess them up. </w:t>
            </w:r>
          </w:p>
          <w:p w14:paraId="080EE44D" w14:textId="66361DCF"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i/>
                <w:iCs/>
                <w:color w:val="333333"/>
                <w:sz w:val="21"/>
                <w:szCs w:val="21"/>
              </w:rPr>
              <w:t>During her presentation, Natalie Choate will offer 12 things you didn't know about QCDs.</w:t>
            </w:r>
          </w:p>
        </w:tc>
      </w:tr>
      <w:tr w:rsidR="002E6339" w:rsidRPr="002E6339" w14:paraId="0E3D1510" w14:textId="77777777" w:rsidTr="002E6339">
        <w:tc>
          <w:tcPr>
            <w:tcW w:w="0" w:type="auto"/>
            <w:shd w:val="clear" w:color="auto" w:fill="FFFFFF"/>
            <w:tcMar>
              <w:top w:w="0" w:type="dxa"/>
              <w:left w:w="0" w:type="dxa"/>
              <w:bottom w:w="0" w:type="dxa"/>
              <w:right w:w="0" w:type="dxa"/>
            </w:tcMar>
            <w:vAlign w:val="center"/>
            <w:hideMark/>
          </w:tcPr>
          <w:p w14:paraId="7A8EF3FB"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4:15 pm ET</w:t>
            </w:r>
          </w:p>
        </w:tc>
        <w:tc>
          <w:tcPr>
            <w:tcW w:w="0" w:type="auto"/>
            <w:shd w:val="clear" w:color="auto" w:fill="FFFFFF"/>
            <w:tcMar>
              <w:top w:w="0" w:type="dxa"/>
              <w:left w:w="0" w:type="dxa"/>
              <w:bottom w:w="0" w:type="dxa"/>
              <w:right w:w="0" w:type="dxa"/>
            </w:tcMar>
            <w:vAlign w:val="center"/>
            <w:hideMark/>
          </w:tcPr>
          <w:p w14:paraId="5932D5B3"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Closing Remarks</w:t>
            </w:r>
          </w:p>
        </w:tc>
      </w:tr>
      <w:tr w:rsidR="002E6339" w:rsidRPr="002E6339" w14:paraId="62CC0466" w14:textId="77777777" w:rsidTr="002E6339">
        <w:tc>
          <w:tcPr>
            <w:tcW w:w="0" w:type="auto"/>
            <w:shd w:val="clear" w:color="auto" w:fill="FFFFFF"/>
            <w:tcMar>
              <w:top w:w="0" w:type="dxa"/>
              <w:left w:w="0" w:type="dxa"/>
              <w:bottom w:w="0" w:type="dxa"/>
              <w:right w:w="0" w:type="dxa"/>
            </w:tcMar>
            <w:vAlign w:val="center"/>
            <w:hideMark/>
          </w:tcPr>
          <w:p w14:paraId="585DC2E7"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4:20 pm ET</w:t>
            </w:r>
          </w:p>
        </w:tc>
        <w:tc>
          <w:tcPr>
            <w:tcW w:w="0" w:type="auto"/>
            <w:shd w:val="clear" w:color="auto" w:fill="FFFFFF"/>
            <w:tcMar>
              <w:top w:w="0" w:type="dxa"/>
              <w:left w:w="0" w:type="dxa"/>
              <w:bottom w:w="0" w:type="dxa"/>
              <w:right w:w="0" w:type="dxa"/>
            </w:tcMar>
            <w:vAlign w:val="center"/>
            <w:hideMark/>
          </w:tcPr>
          <w:p w14:paraId="200B0BAF"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Networking Reception &amp; Exhibit Hall Open</w:t>
            </w:r>
          </w:p>
        </w:tc>
      </w:tr>
      <w:tr w:rsidR="002E6339" w:rsidRPr="002E6339" w14:paraId="3D27F9A2" w14:textId="77777777" w:rsidTr="002E6339">
        <w:tc>
          <w:tcPr>
            <w:tcW w:w="0" w:type="auto"/>
            <w:shd w:val="clear" w:color="auto" w:fill="FFFFFF"/>
            <w:tcMar>
              <w:top w:w="0" w:type="dxa"/>
              <w:left w:w="0" w:type="dxa"/>
              <w:bottom w:w="0" w:type="dxa"/>
              <w:right w:w="0" w:type="dxa"/>
            </w:tcMar>
            <w:vAlign w:val="center"/>
            <w:hideMark/>
          </w:tcPr>
          <w:p w14:paraId="47D1B65D"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 </w:t>
            </w:r>
          </w:p>
        </w:tc>
        <w:tc>
          <w:tcPr>
            <w:tcW w:w="0" w:type="auto"/>
            <w:shd w:val="clear" w:color="auto" w:fill="FFFFFF"/>
            <w:tcMar>
              <w:top w:w="0" w:type="dxa"/>
              <w:left w:w="0" w:type="dxa"/>
              <w:bottom w:w="0" w:type="dxa"/>
              <w:right w:w="0" w:type="dxa"/>
            </w:tcMar>
            <w:vAlign w:val="center"/>
            <w:hideMark/>
          </w:tcPr>
          <w:p w14:paraId="534DEA8C" w14:textId="77777777" w:rsidR="002E6339" w:rsidRPr="002E6339" w:rsidRDefault="002E6339" w:rsidP="002E6339">
            <w:pPr>
              <w:spacing w:after="150" w:line="240" w:lineRule="auto"/>
              <w:rPr>
                <w:rFonts w:ascii="Arial" w:eastAsia="Times New Roman" w:hAnsi="Arial" w:cs="Arial"/>
                <w:color w:val="333333"/>
                <w:sz w:val="21"/>
                <w:szCs w:val="21"/>
              </w:rPr>
            </w:pPr>
            <w:r w:rsidRPr="002E6339">
              <w:rPr>
                <w:rFonts w:ascii="Arial" w:eastAsia="Times New Roman" w:hAnsi="Arial" w:cs="Arial"/>
                <w:color w:val="008000"/>
                <w:sz w:val="21"/>
                <w:szCs w:val="21"/>
              </w:rPr>
              <w:t>30-Minute Sponsor Bonus Sessions (two choices)</w:t>
            </w:r>
          </w:p>
          <w:p w14:paraId="30D48AE6" w14:textId="77777777" w:rsidR="002E6339" w:rsidRDefault="002E6339" w:rsidP="002E6339">
            <w:pPr>
              <w:spacing w:after="150" w:line="240" w:lineRule="auto"/>
              <w:rPr>
                <w:rFonts w:ascii="Arial" w:eastAsia="Times New Roman" w:hAnsi="Arial" w:cs="Arial"/>
                <w:i/>
                <w:iCs/>
                <w:color w:val="333333"/>
                <w:sz w:val="21"/>
                <w:szCs w:val="21"/>
              </w:rPr>
            </w:pPr>
            <w:r w:rsidRPr="002E6339">
              <w:rPr>
                <w:rFonts w:ascii="Arial" w:eastAsia="Times New Roman" w:hAnsi="Arial" w:cs="Arial"/>
                <w:color w:val="008000"/>
                <w:sz w:val="21"/>
                <w:szCs w:val="21"/>
              </w:rPr>
              <w:t>Option #1:  Oil &amp; Gas Assets – Fiduciary Risk Mitigation and Regulatory Issues​</w:t>
            </w:r>
            <w:r w:rsidRPr="002E6339">
              <w:rPr>
                <w:rFonts w:ascii="Arial" w:eastAsia="Times New Roman" w:hAnsi="Arial" w:cs="Arial"/>
                <w:color w:val="008000"/>
                <w:sz w:val="21"/>
                <w:szCs w:val="21"/>
              </w:rPr>
              <w:br/>
              <w:t>Wes Turiano</w:t>
            </w:r>
            <w:r w:rsidRPr="002E6339">
              <w:rPr>
                <w:rFonts w:ascii="Arial" w:eastAsia="Times New Roman" w:hAnsi="Arial" w:cs="Arial"/>
                <w:color w:val="333333"/>
                <w:sz w:val="21"/>
                <w:szCs w:val="21"/>
              </w:rPr>
              <w:br/>
              <w:t>session brought to you by Farmers National Company Oil &amp; Gas Management </w:t>
            </w:r>
            <w:r w:rsidRPr="002E6339">
              <w:rPr>
                <w:rFonts w:ascii="Arial" w:eastAsia="Times New Roman" w:hAnsi="Arial" w:cs="Arial"/>
                <w:color w:val="333333"/>
                <w:sz w:val="21"/>
                <w:szCs w:val="21"/>
              </w:rPr>
              <w:br/>
            </w:r>
            <w:r w:rsidRPr="002E6339">
              <w:rPr>
                <w:rFonts w:ascii="Arial" w:eastAsia="Times New Roman" w:hAnsi="Arial" w:cs="Arial"/>
                <w:i/>
                <w:iCs/>
                <w:noProof/>
                <w:color w:val="333333"/>
                <w:sz w:val="21"/>
                <w:szCs w:val="21"/>
              </w:rPr>
              <w:drawing>
                <wp:inline distT="0" distB="0" distL="0" distR="0" wp14:anchorId="20BF6DD2" wp14:editId="713A8C0B">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2E6339">
              <w:rPr>
                <w:rFonts w:ascii="Arial" w:eastAsia="Times New Roman" w:hAnsi="Arial" w:cs="Arial"/>
                <w:i/>
                <w:iCs/>
                <w:color w:val="333333"/>
                <w:sz w:val="21"/>
                <w:szCs w:val="21"/>
              </w:rPr>
              <w:t>This session will describe how Fiduciaries can manage risk associated with management of oil &amp; gas assets held in trust, through prudent and pro-active management. The presentation</w:t>
            </w:r>
          </w:p>
          <w:p w14:paraId="35B356C8" w14:textId="77777777" w:rsidR="002E6339" w:rsidRDefault="002E6339" w:rsidP="002E6339">
            <w:pPr>
              <w:spacing w:after="15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will include three key elements of a successful oil &amp; gas management program: a) planning for oil &amp; gas ownership </w:t>
            </w:r>
          </w:p>
          <w:p w14:paraId="0DC7F997" w14:textId="77777777" w:rsidR="002E6339" w:rsidRDefault="002E6339" w:rsidP="002E6339">
            <w:pPr>
              <w:spacing w:after="15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(due diligence, pre-acceptance evaluations, market valuations); b) management of oil &amp; gas assets</w:t>
            </w:r>
          </w:p>
          <w:p w14:paraId="71C88D57" w14:textId="77777777" w:rsidR="002E6339" w:rsidRDefault="002E6339" w:rsidP="002E6339">
            <w:pPr>
              <w:spacing w:after="15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 xml:space="preserve"> (revenue accounting, land administration, revenue maximization, leasing); and c) risk issues associated </w:t>
            </w:r>
          </w:p>
          <w:p w14:paraId="6F2BD1C0" w14:textId="09E01AAA" w:rsidR="002E6339" w:rsidRDefault="002E6339" w:rsidP="002E6339">
            <w:pPr>
              <w:spacing w:after="150" w:line="240" w:lineRule="auto"/>
              <w:rPr>
                <w:rFonts w:ascii="Arial" w:eastAsia="Times New Roman" w:hAnsi="Arial" w:cs="Arial"/>
                <w:i/>
                <w:iCs/>
                <w:color w:val="333333"/>
                <w:sz w:val="21"/>
                <w:szCs w:val="21"/>
              </w:rPr>
            </w:pPr>
            <w:r w:rsidRPr="002E6339">
              <w:rPr>
                <w:rFonts w:ascii="Arial" w:eastAsia="Times New Roman" w:hAnsi="Arial" w:cs="Arial"/>
                <w:i/>
                <w:iCs/>
                <w:color w:val="333333"/>
                <w:sz w:val="21"/>
                <w:szCs w:val="21"/>
              </w:rPr>
              <w:t>with oil &amp; gas assets (title curative, lease values, dormant mineral filings, working interest review).</w:t>
            </w:r>
          </w:p>
          <w:p w14:paraId="5EAF1D61" w14:textId="2376CB95" w:rsidR="002E6339" w:rsidRDefault="004D295D" w:rsidP="002E6339">
            <w:pPr>
              <w:spacing w:after="150" w:line="240" w:lineRule="auto"/>
              <w:rPr>
                <w:rFonts w:ascii="Arial" w:eastAsia="Times New Roman" w:hAnsi="Arial" w:cs="Arial"/>
                <w:i/>
                <w:iCs/>
                <w:color w:val="333333"/>
                <w:sz w:val="21"/>
                <w:szCs w:val="21"/>
              </w:rPr>
            </w:pPr>
            <w:r>
              <w:rPr>
                <w:rFonts w:ascii="Arial" w:eastAsia="Times New Roman" w:hAnsi="Arial" w:cs="Arial"/>
                <w:color w:val="008000"/>
                <w:sz w:val="21"/>
                <w:szCs w:val="21"/>
              </w:rPr>
              <w:t>O</w:t>
            </w:r>
            <w:r w:rsidR="002E6339" w:rsidRPr="002E6339">
              <w:rPr>
                <w:rFonts w:ascii="Arial" w:eastAsia="Times New Roman" w:hAnsi="Arial" w:cs="Arial"/>
                <w:color w:val="008000"/>
                <w:sz w:val="21"/>
                <w:szCs w:val="21"/>
              </w:rPr>
              <w:t>ption #2:  Positioning Your Business for Growth</w:t>
            </w:r>
            <w:r w:rsidR="002E6339" w:rsidRPr="002E6339">
              <w:rPr>
                <w:rFonts w:ascii="Arial" w:eastAsia="Times New Roman" w:hAnsi="Arial" w:cs="Arial"/>
                <w:color w:val="008000"/>
                <w:sz w:val="21"/>
                <w:szCs w:val="21"/>
              </w:rPr>
              <w:br/>
              <w:t>Mike Thurman</w:t>
            </w:r>
            <w:r w:rsidR="002E6339" w:rsidRPr="002E6339">
              <w:rPr>
                <w:rFonts w:ascii="Arial" w:eastAsia="Times New Roman" w:hAnsi="Arial" w:cs="Arial"/>
                <w:color w:val="333333"/>
                <w:sz w:val="21"/>
                <w:szCs w:val="21"/>
              </w:rPr>
              <w:br/>
              <w:t>session brought to you by White Glove</w:t>
            </w:r>
            <w:r w:rsidR="002E6339" w:rsidRPr="002E6339">
              <w:rPr>
                <w:rFonts w:ascii="Arial" w:eastAsia="Times New Roman" w:hAnsi="Arial" w:cs="Arial"/>
                <w:color w:val="333333"/>
                <w:sz w:val="21"/>
                <w:szCs w:val="21"/>
              </w:rPr>
              <w:br/>
            </w:r>
            <w:r w:rsidR="002E6339" w:rsidRPr="002E6339">
              <w:rPr>
                <w:rFonts w:ascii="Arial" w:eastAsia="Times New Roman" w:hAnsi="Arial" w:cs="Arial"/>
                <w:i/>
                <w:iCs/>
                <w:noProof/>
                <w:color w:val="333333"/>
                <w:sz w:val="21"/>
                <w:szCs w:val="21"/>
              </w:rPr>
              <w:lastRenderedPageBreak/>
              <w:drawing>
                <wp:inline distT="0" distB="0" distL="0" distR="0" wp14:anchorId="34C86E4E" wp14:editId="66654FDA">
                  <wp:extent cx="1822450" cy="2013962"/>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962" cy="2023369"/>
                          </a:xfrm>
                          <a:prstGeom prst="rect">
                            <a:avLst/>
                          </a:prstGeom>
                          <a:noFill/>
                          <a:ln>
                            <a:noFill/>
                          </a:ln>
                        </pic:spPr>
                      </pic:pic>
                    </a:graphicData>
                  </a:graphic>
                </wp:inline>
              </w:drawing>
            </w:r>
            <w:r w:rsidR="002E6339" w:rsidRPr="002E6339">
              <w:rPr>
                <w:rFonts w:ascii="Arial" w:eastAsia="Times New Roman" w:hAnsi="Arial" w:cs="Arial"/>
                <w:i/>
                <w:iCs/>
                <w:color w:val="333333"/>
                <w:sz w:val="21"/>
                <w:szCs w:val="21"/>
              </w:rPr>
              <w:t>The current pandemic has forced everyone to alter, or in some circumstances, completely halt their marketing efforts this year.  However, now more than ever, clients are seeking professionals</w:t>
            </w:r>
          </w:p>
          <w:p w14:paraId="7F1AAB3B" w14:textId="57B53B41" w:rsidR="002E6339" w:rsidRPr="002E6339" w:rsidRDefault="002E6339" w:rsidP="002E6339">
            <w:pPr>
              <w:spacing w:after="150" w:line="240" w:lineRule="auto"/>
              <w:rPr>
                <w:rFonts w:ascii="Arial" w:eastAsia="Times New Roman" w:hAnsi="Arial" w:cs="Arial"/>
                <w:color w:val="333333"/>
                <w:sz w:val="21"/>
                <w:szCs w:val="21"/>
              </w:rPr>
            </w:pPr>
            <w:r w:rsidRPr="002E6339">
              <w:rPr>
                <w:rFonts w:ascii="Arial" w:eastAsia="Times New Roman" w:hAnsi="Arial" w:cs="Arial"/>
                <w:i/>
                <w:iCs/>
                <w:color w:val="333333"/>
                <w:sz w:val="21"/>
                <w:szCs w:val="21"/>
              </w:rPr>
              <w:t xml:space="preserve"> to provide much needed education and estate planning assistance.  Join this session to discuss real results the sponsoring firm has seen in the industry and what new methods have helped financial professionals partner with estate planners to position their business for growth.</w:t>
            </w:r>
          </w:p>
        </w:tc>
      </w:tr>
      <w:tr w:rsidR="002E6339" w:rsidRPr="002E6339" w14:paraId="1F3056CA" w14:textId="77777777" w:rsidTr="002E6339">
        <w:tc>
          <w:tcPr>
            <w:tcW w:w="0" w:type="auto"/>
            <w:shd w:val="clear" w:color="auto" w:fill="FFFFFF"/>
            <w:tcMar>
              <w:top w:w="0" w:type="dxa"/>
              <w:left w:w="0" w:type="dxa"/>
              <w:bottom w:w="0" w:type="dxa"/>
              <w:right w:w="0" w:type="dxa"/>
            </w:tcMar>
            <w:vAlign w:val="center"/>
            <w:hideMark/>
          </w:tcPr>
          <w:p w14:paraId="41A097CA"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lastRenderedPageBreak/>
              <w:t>5:00 pm ET</w:t>
            </w:r>
          </w:p>
        </w:tc>
        <w:tc>
          <w:tcPr>
            <w:tcW w:w="0" w:type="auto"/>
            <w:shd w:val="clear" w:color="auto" w:fill="FFFFFF"/>
            <w:tcMar>
              <w:top w:w="0" w:type="dxa"/>
              <w:left w:w="0" w:type="dxa"/>
              <w:bottom w:w="0" w:type="dxa"/>
              <w:right w:w="0" w:type="dxa"/>
            </w:tcMar>
            <w:vAlign w:val="center"/>
            <w:hideMark/>
          </w:tcPr>
          <w:p w14:paraId="48EBF55A" w14:textId="77777777" w:rsidR="002E6339" w:rsidRPr="002E6339" w:rsidRDefault="002E6339" w:rsidP="002E6339">
            <w:pPr>
              <w:spacing w:after="0" w:line="240" w:lineRule="auto"/>
              <w:rPr>
                <w:rFonts w:ascii="Arial" w:eastAsia="Times New Roman" w:hAnsi="Arial" w:cs="Arial"/>
                <w:color w:val="333333"/>
                <w:sz w:val="21"/>
                <w:szCs w:val="21"/>
              </w:rPr>
            </w:pPr>
            <w:r w:rsidRPr="002E6339">
              <w:rPr>
                <w:rFonts w:ascii="Arial" w:eastAsia="Times New Roman" w:hAnsi="Arial" w:cs="Arial"/>
                <w:color w:val="333333"/>
                <w:sz w:val="21"/>
                <w:szCs w:val="21"/>
              </w:rPr>
              <w:t>Conference Concludes</w:t>
            </w:r>
          </w:p>
        </w:tc>
      </w:tr>
    </w:tbl>
    <w:p w14:paraId="02A1A6A1" w14:textId="77777777" w:rsidR="002E6339" w:rsidRPr="002E6339" w:rsidRDefault="002E6339" w:rsidP="002E6339">
      <w:pPr>
        <w:shd w:val="clear" w:color="auto" w:fill="FFFFFF"/>
        <w:spacing w:before="450" w:after="150" w:line="240" w:lineRule="auto"/>
        <w:outlineLvl w:val="2"/>
        <w:rPr>
          <w:rFonts w:ascii="Arial" w:eastAsia="Times New Roman" w:hAnsi="Arial" w:cs="Arial"/>
          <w:color w:val="333333"/>
          <w:sz w:val="36"/>
          <w:szCs w:val="36"/>
        </w:rPr>
      </w:pPr>
    </w:p>
    <w:p w14:paraId="226346AD" w14:textId="77777777" w:rsidR="00C65DEE" w:rsidRDefault="00C65DEE"/>
    <w:sectPr w:rsidR="00C65DEE" w:rsidSect="002E63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39"/>
    <w:rsid w:val="002E6339"/>
    <w:rsid w:val="004D295D"/>
    <w:rsid w:val="00C65DEE"/>
    <w:rsid w:val="00E5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70C5"/>
  <w15:chartTrackingRefBased/>
  <w15:docId w15:val="{CA2D966A-1062-4DA2-AC83-FC5B55B5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93076">
      <w:bodyDiv w:val="1"/>
      <w:marLeft w:val="0"/>
      <w:marRight w:val="0"/>
      <w:marTop w:val="0"/>
      <w:marBottom w:val="0"/>
      <w:divBdr>
        <w:top w:val="none" w:sz="0" w:space="0" w:color="auto"/>
        <w:left w:val="none" w:sz="0" w:space="0" w:color="auto"/>
        <w:bottom w:val="none" w:sz="0" w:space="0" w:color="auto"/>
        <w:right w:val="none" w:sz="0" w:space="0" w:color="auto"/>
      </w:divBdr>
    </w:div>
    <w:div w:id="19510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Silvani</dc:creator>
  <cp:keywords/>
  <dc:description/>
  <cp:lastModifiedBy>Marie Silvani</cp:lastModifiedBy>
  <cp:revision>3</cp:revision>
  <dcterms:created xsi:type="dcterms:W3CDTF">2020-10-28T14:02:00Z</dcterms:created>
  <dcterms:modified xsi:type="dcterms:W3CDTF">2020-10-28T14:14:00Z</dcterms:modified>
</cp:coreProperties>
</file>